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7"/>
        <w:tblOverlap w:val="never"/>
        <w:tblW w:w="82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8"/>
        <w:gridCol w:w="1309"/>
        <w:gridCol w:w="851"/>
        <w:gridCol w:w="5102"/>
      </w:tblGrid>
      <w:tr w:rsidR="00495FD5" w:rsidTr="00D94F73">
        <w:trPr>
          <w:trHeight w:val="781"/>
        </w:trPr>
        <w:tc>
          <w:tcPr>
            <w:tcW w:w="958"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b/>
                <w:bCs/>
                <w:szCs w:val="21"/>
              </w:rPr>
            </w:pPr>
            <w:r>
              <w:rPr>
                <w:rFonts w:ascii="宋体" w:hAnsi="宋体" w:hint="eastAsia"/>
                <w:b/>
                <w:bCs/>
                <w:szCs w:val="21"/>
              </w:rPr>
              <w:t>软件</w:t>
            </w:r>
          </w:p>
          <w:p w:rsidR="00495FD5" w:rsidRDefault="00495FD5" w:rsidP="00D94F73">
            <w:pPr>
              <w:jc w:val="center"/>
              <w:rPr>
                <w:rFonts w:ascii="宋体" w:hAnsi="宋体"/>
                <w:b/>
                <w:bCs/>
                <w:szCs w:val="21"/>
              </w:rPr>
            </w:pPr>
            <w:r>
              <w:rPr>
                <w:rFonts w:ascii="宋体" w:hAnsi="宋体" w:hint="eastAsia"/>
                <w:b/>
                <w:bCs/>
                <w:szCs w:val="21"/>
              </w:rPr>
              <w:t>名称</w:t>
            </w:r>
          </w:p>
        </w:tc>
        <w:tc>
          <w:tcPr>
            <w:tcW w:w="1309"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b/>
                <w:bCs/>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b/>
                <w:bCs/>
                <w:szCs w:val="21"/>
              </w:rPr>
            </w:pPr>
            <w:r>
              <w:rPr>
                <w:rFonts w:ascii="宋体" w:hAnsi="宋体" w:hint="eastAsia"/>
                <w:b/>
                <w:bCs/>
                <w:szCs w:val="21"/>
              </w:rPr>
              <w:t>序号</w:t>
            </w:r>
          </w:p>
        </w:tc>
        <w:tc>
          <w:tcPr>
            <w:tcW w:w="5102"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b/>
                <w:bCs/>
                <w:szCs w:val="21"/>
              </w:rPr>
            </w:pPr>
            <w:r>
              <w:rPr>
                <w:rFonts w:ascii="宋体" w:hAnsi="宋体" w:hint="eastAsia"/>
                <w:b/>
                <w:bCs/>
                <w:szCs w:val="21"/>
              </w:rPr>
              <w:t>技术规格</w:t>
            </w:r>
          </w:p>
        </w:tc>
      </w:tr>
      <w:tr w:rsidR="00495FD5" w:rsidTr="00495FD5">
        <w:trPr>
          <w:trHeight w:val="2275"/>
        </w:trPr>
        <w:tc>
          <w:tcPr>
            <w:tcW w:w="958" w:type="dxa"/>
            <w:vMerge w:val="restart"/>
            <w:tcBorders>
              <w:top w:val="single" w:sz="6" w:space="0" w:color="auto"/>
              <w:left w:val="single" w:sz="6" w:space="0" w:color="auto"/>
              <w:bottom w:val="single" w:sz="6" w:space="0" w:color="auto"/>
              <w:right w:val="single" w:sz="6" w:space="0" w:color="auto"/>
            </w:tcBorders>
            <w:vAlign w:val="center"/>
          </w:tcPr>
          <w:p w:rsidR="00495FD5" w:rsidRDefault="00495FD5" w:rsidP="00D94F73">
            <w:pPr>
              <w:rPr>
                <w:rFonts w:ascii="宋体" w:hAnsi="宋体"/>
                <w:szCs w:val="21"/>
              </w:rPr>
            </w:pPr>
            <w:r>
              <w:rPr>
                <w:rFonts w:ascii="宋体" w:hAnsi="宋体" w:hint="eastAsia"/>
                <w:szCs w:val="21"/>
              </w:rPr>
              <w:t>管理平台</w:t>
            </w:r>
          </w:p>
        </w:tc>
        <w:tc>
          <w:tcPr>
            <w:tcW w:w="1309" w:type="dxa"/>
            <w:vMerge w:val="restart"/>
            <w:tcBorders>
              <w:top w:val="single" w:sz="6" w:space="0" w:color="auto"/>
              <w:left w:val="single" w:sz="6" w:space="0" w:color="auto"/>
              <w:bottom w:val="single" w:sz="6" w:space="0" w:color="auto"/>
              <w:right w:val="single" w:sz="6" w:space="0" w:color="auto"/>
            </w:tcBorders>
          </w:tcPr>
          <w:p w:rsidR="00495FD5" w:rsidRDefault="00495FD5" w:rsidP="00D94F73">
            <w:pPr>
              <w:jc w:val="center"/>
              <w:rPr>
                <w:rFonts w:ascii="宋体" w:hAnsi="宋体"/>
                <w:szCs w:val="21"/>
              </w:rPr>
            </w:pPr>
            <w:r>
              <w:rPr>
                <w:rFonts w:ascii="宋体" w:hAnsi="宋体" w:hint="eastAsia"/>
                <w:szCs w:val="21"/>
              </w:rPr>
              <w:t>客户端管理部分</w:t>
            </w: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1</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ascii="宋体" w:hAnsi="宋体" w:hint="eastAsia"/>
                <w:szCs w:val="21"/>
              </w:rPr>
              <w:t>单个操作系统即可增量建立多种系统环境供不同品牌型号、不同硬件配置的客户端按需选择开机。</w:t>
            </w:r>
          </w:p>
        </w:tc>
      </w:tr>
      <w:tr w:rsidR="00495FD5" w:rsidTr="00D94F73">
        <w:trPr>
          <w:trHeight w:val="524"/>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2</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hint="eastAsia"/>
              </w:rPr>
              <w:t>可以直接把桌面镜像通过</w:t>
            </w:r>
            <w:r>
              <w:t>U</w:t>
            </w:r>
            <w:r>
              <w:rPr>
                <w:rFonts w:hint="eastAsia"/>
              </w:rPr>
              <w:t>盘，移动硬盘或者</w:t>
            </w:r>
            <w:r>
              <w:t>DVD</w:t>
            </w:r>
            <w:r>
              <w:rPr>
                <w:rFonts w:hint="eastAsia"/>
              </w:rPr>
              <w:t>光驱，不使用网络的情况下，直接部署到本地终端</w:t>
            </w:r>
          </w:p>
        </w:tc>
      </w:tr>
      <w:tr w:rsidR="00495FD5" w:rsidTr="00495FD5">
        <w:trPr>
          <w:trHeight w:val="4616"/>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3</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highlight w:val="yellow"/>
              </w:rPr>
            </w:pPr>
            <w:r>
              <w:rPr>
                <w:rFonts w:ascii="宋体" w:hAnsi="宋体" w:hint="eastAsia"/>
                <w:szCs w:val="21"/>
              </w:rPr>
              <w:t>客户端可同时获得20个以上教学实验环境，可按不同教师、班级、专业、学生开启个性化教学实验环境，教学环境快速切换时启动的时间要在2分钟内。客户端没有任何分区即可支持不同机型的多种教学环境运行，单个教学环境即可增量建立多种独立系统环境。</w:t>
            </w:r>
          </w:p>
        </w:tc>
      </w:tr>
      <w:tr w:rsidR="00495FD5" w:rsidTr="00D94F73">
        <w:trPr>
          <w:trHeight w:val="1057"/>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4</w:t>
            </w:r>
            <w:bookmarkStart w:id="0" w:name="_GoBack"/>
            <w:bookmarkEnd w:id="0"/>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cs="宋体"/>
                <w:bCs/>
                <w:szCs w:val="21"/>
              </w:rPr>
            </w:pPr>
            <w:r>
              <w:rPr>
                <w:rFonts w:ascii="宋体" w:hAnsi="宋体" w:hint="eastAsia"/>
                <w:szCs w:val="21"/>
              </w:rPr>
              <w:t>客户端可支持windows全系列的32位和64位系统，包括win7、win10及Linux系统如红帽、Cent OS、Ubuntu等，</w:t>
            </w:r>
            <w:r>
              <w:rPr>
                <w:rFonts w:ascii="宋体" w:hAnsi="宋体" w:cs="宋体" w:hint="eastAsia"/>
                <w:bCs/>
                <w:szCs w:val="21"/>
              </w:rPr>
              <w:t>支持虚拟客户机上的软件资源直接应用到物理客户机机上。</w:t>
            </w:r>
          </w:p>
        </w:tc>
      </w:tr>
      <w:tr w:rsidR="00495FD5" w:rsidTr="00D94F73">
        <w:trPr>
          <w:trHeight w:val="544"/>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val="restart"/>
            <w:tcBorders>
              <w:top w:val="single" w:sz="6" w:space="0" w:color="auto"/>
              <w:left w:val="single" w:sz="6" w:space="0" w:color="auto"/>
              <w:bottom w:val="single" w:sz="6" w:space="0" w:color="auto"/>
              <w:right w:val="single" w:sz="6" w:space="0" w:color="auto"/>
            </w:tcBorders>
          </w:tcPr>
          <w:p w:rsidR="00495FD5" w:rsidRDefault="00495FD5" w:rsidP="00D94F73">
            <w:pPr>
              <w:jc w:val="center"/>
              <w:rPr>
                <w:rFonts w:ascii="宋体" w:hAnsi="宋体"/>
                <w:szCs w:val="21"/>
              </w:rPr>
            </w:pPr>
            <w:r>
              <w:rPr>
                <w:rFonts w:ascii="宋体" w:hAnsi="宋体" w:hint="eastAsia"/>
                <w:szCs w:val="21"/>
              </w:rPr>
              <w:t>服务器管理部分</w:t>
            </w:r>
          </w:p>
          <w:p w:rsidR="00495FD5" w:rsidRDefault="00495FD5" w:rsidP="00D94F73">
            <w:pPr>
              <w:ind w:firstLine="480"/>
              <w:jc w:val="center"/>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5</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cs="宋体"/>
                <w:bCs/>
                <w:szCs w:val="21"/>
              </w:rPr>
            </w:pPr>
            <w:r>
              <w:rPr>
                <w:rFonts w:ascii="宋体" w:hAnsi="宋体" w:hint="eastAsia"/>
                <w:szCs w:val="21"/>
              </w:rPr>
              <w:t>服务器端设置客户端桌面分辨率以适应不同显示器，</w:t>
            </w:r>
            <w:r>
              <w:rPr>
                <w:rFonts w:ascii="宋体" w:hAnsi="宋体" w:cs="宋体" w:hint="eastAsia"/>
                <w:bCs/>
                <w:szCs w:val="21"/>
              </w:rPr>
              <w:t>对接入的客户端批量配置IP地址、机器名、分组策略等</w:t>
            </w:r>
          </w:p>
        </w:tc>
      </w:tr>
      <w:tr w:rsidR="00495FD5" w:rsidTr="00D94F73">
        <w:trPr>
          <w:trHeight w:val="666"/>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6</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ascii="宋体" w:hAnsi="宋体" w:hint="eastAsia"/>
                <w:szCs w:val="21"/>
              </w:rPr>
              <w:t>支持服务器端或存储系统的虚拟硬盘访问模式，可以提供给每台客户端一个资料盘，用来保存一些个人的系统环境和设置，满足使用者的个性化存储需求。</w:t>
            </w:r>
          </w:p>
        </w:tc>
      </w:tr>
      <w:tr w:rsidR="00495FD5" w:rsidTr="00D94F73">
        <w:trPr>
          <w:trHeight w:val="666"/>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7</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ascii="宋体" w:hAnsi="宋体" w:hint="eastAsia"/>
                <w:szCs w:val="21"/>
              </w:rPr>
              <w:t>服务器端镜像资源存储以虚拟化方式，实现多系统（Windows、Linux等）数据跨平台存储在镜像文件中，并确保病毒无法感染服务端资源，保障服务端的安全性。</w:t>
            </w:r>
          </w:p>
        </w:tc>
      </w:tr>
      <w:tr w:rsidR="00495FD5" w:rsidTr="00D94F73">
        <w:trPr>
          <w:trHeight w:val="666"/>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8</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ascii="宋体" w:hAnsi="宋体" w:hint="eastAsia"/>
                <w:szCs w:val="21"/>
              </w:rPr>
              <w:t>桌面云管理平台系统支持在第三方如微软DHCP的网络环境下部署，并支持AD域控的架构部署。</w:t>
            </w:r>
          </w:p>
        </w:tc>
      </w:tr>
      <w:tr w:rsidR="00495FD5" w:rsidTr="00D94F73">
        <w:trPr>
          <w:trHeight w:val="1126"/>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9</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cs="宋体"/>
                <w:b/>
                <w:bCs/>
                <w:szCs w:val="21"/>
              </w:rPr>
            </w:pPr>
            <w:r>
              <w:rPr>
                <w:rFonts w:ascii="宋体" w:hAnsi="宋体" w:hint="eastAsia"/>
                <w:szCs w:val="21"/>
              </w:rPr>
              <w:t>管理员可通过服务器对客户端进行桌面远程协助，并对客户端下发信息、文件、执行指令等，客户端支持注册表穿透和文件穿透，系统还原指定注册表或文件不被还原。</w:t>
            </w:r>
          </w:p>
        </w:tc>
      </w:tr>
      <w:tr w:rsidR="00495FD5" w:rsidTr="00D94F73">
        <w:trPr>
          <w:trHeight w:val="666"/>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11</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cs="宋体"/>
                <w:bCs/>
                <w:szCs w:val="21"/>
              </w:rPr>
            </w:pPr>
            <w:r>
              <w:rPr>
                <w:rFonts w:ascii="宋体" w:hAnsi="宋体" w:hint="eastAsia"/>
                <w:szCs w:val="21"/>
              </w:rPr>
              <w:t>管理员可以根据需要任意选择某一个环境进行全载缓存和备份，系统平台可设</w:t>
            </w:r>
            <w:r>
              <w:rPr>
                <w:rFonts w:ascii="宋体" w:hAnsi="宋体" w:hint="eastAsia"/>
                <w:szCs w:val="21"/>
              </w:rPr>
              <w:lastRenderedPageBreak/>
              <w:t>定单个系统环境或多个系统环境加载完缓存后自动关机，无需管理员守候，还可设定某一时间内机器自动开机加载缓存。</w:t>
            </w:r>
          </w:p>
        </w:tc>
      </w:tr>
      <w:tr w:rsidR="00495FD5" w:rsidTr="00D94F73">
        <w:trPr>
          <w:trHeight w:val="666"/>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12</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snapToGrid w:val="0"/>
              <w:rPr>
                <w:rFonts w:ascii="宋体" w:hAnsi="宋体"/>
                <w:szCs w:val="21"/>
              </w:rPr>
            </w:pPr>
            <w:r>
              <w:rPr>
                <w:rFonts w:ascii="宋体" w:hAnsi="宋体" w:hint="eastAsia"/>
                <w:szCs w:val="21"/>
              </w:rPr>
              <w:t>系统平台可查看实时在线机房数，在线机器数量等详细信息，支持客户端加载缓存时，实时更新显示缓存剩余空间。</w:t>
            </w:r>
          </w:p>
        </w:tc>
      </w:tr>
      <w:tr w:rsidR="00495FD5" w:rsidTr="00D94F73">
        <w:trPr>
          <w:trHeight w:val="358"/>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13</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ascii="宋体" w:hAnsi="宋体" w:hint="eastAsia"/>
                <w:szCs w:val="21"/>
              </w:rPr>
              <w:t>客户端菜单支持域名连接服务器，支持动态域解析连接服务器，当服务器IP变化后，可自动通过域名查找到主服务器。各服务器组件之间也支持域名解析连接，系统平台服务器镜像文件需支持扩容。</w:t>
            </w:r>
          </w:p>
        </w:tc>
      </w:tr>
      <w:tr w:rsidR="00495FD5" w:rsidTr="00D94F73">
        <w:trPr>
          <w:trHeight w:val="358"/>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14</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ascii="宋体" w:hAnsi="宋体" w:hint="eastAsia"/>
                <w:szCs w:val="21"/>
              </w:rPr>
              <w:t>#服务器程序需采用HDD/Memory/System/LocalDisk/LocalRAM在内的五级缓存机制，后端服务器镜像文件采用VHD文件格式。（提供此功能截图）</w:t>
            </w:r>
          </w:p>
        </w:tc>
      </w:tr>
      <w:tr w:rsidR="00495FD5" w:rsidTr="00D94F73">
        <w:trPr>
          <w:trHeight w:val="358"/>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15</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ascii="宋体" w:hAnsi="宋体" w:hint="eastAsia"/>
                <w:szCs w:val="21"/>
              </w:rPr>
              <w:t>新增软件时在不影响用户使用的情况下，管理端数据以扇区流及动态增量的方式按需按同步或异步交付到客户端本地硬盘上，管理端对客户端可以跨广域网跨互联网连接、启动、运行。</w:t>
            </w:r>
          </w:p>
        </w:tc>
      </w:tr>
      <w:tr w:rsidR="00495FD5" w:rsidTr="00D94F73">
        <w:trPr>
          <w:trHeight w:val="358"/>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16</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ascii="宋体" w:hAnsi="宋体" w:hint="eastAsia"/>
                <w:szCs w:val="21"/>
              </w:rPr>
              <w:t>可多次累积收集已经注册的软件信息（如AutoCAD、3DMax、Corel系列软件、电子白板校准等），在客户端系统每次复原下，仍能保持有软件注册或校准信息。</w:t>
            </w:r>
          </w:p>
        </w:tc>
      </w:tr>
      <w:tr w:rsidR="00495FD5" w:rsidTr="00D94F73">
        <w:trPr>
          <w:trHeight w:val="358"/>
        </w:trPr>
        <w:tc>
          <w:tcPr>
            <w:tcW w:w="958"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1309" w:type="dxa"/>
            <w:vMerge/>
            <w:tcBorders>
              <w:top w:val="single" w:sz="6" w:space="0" w:color="auto"/>
              <w:left w:val="single" w:sz="6" w:space="0" w:color="auto"/>
              <w:bottom w:val="single" w:sz="6" w:space="0" w:color="auto"/>
              <w:right w:val="single" w:sz="6" w:space="0" w:color="auto"/>
            </w:tcBorders>
            <w:vAlign w:val="center"/>
          </w:tcPr>
          <w:p w:rsidR="00495FD5" w:rsidRDefault="00495FD5" w:rsidP="00D94F73">
            <w:pPr>
              <w:widowControl/>
              <w:jc w:val="left"/>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95FD5" w:rsidRDefault="00495FD5" w:rsidP="00D94F73">
            <w:pPr>
              <w:jc w:val="center"/>
              <w:rPr>
                <w:rFonts w:ascii="宋体" w:hAnsi="宋体"/>
                <w:szCs w:val="21"/>
              </w:rPr>
            </w:pPr>
            <w:r>
              <w:rPr>
                <w:rFonts w:ascii="宋体" w:hAnsi="宋体" w:hint="eastAsia"/>
                <w:szCs w:val="21"/>
              </w:rPr>
              <w:t>17</w:t>
            </w:r>
          </w:p>
        </w:tc>
        <w:tc>
          <w:tcPr>
            <w:tcW w:w="5102" w:type="dxa"/>
            <w:tcBorders>
              <w:top w:val="single" w:sz="6" w:space="0" w:color="auto"/>
              <w:left w:val="single" w:sz="6" w:space="0" w:color="auto"/>
              <w:bottom w:val="single" w:sz="6" w:space="0" w:color="auto"/>
              <w:right w:val="single" w:sz="6" w:space="0" w:color="auto"/>
            </w:tcBorders>
          </w:tcPr>
          <w:p w:rsidR="00495FD5" w:rsidRDefault="00495FD5" w:rsidP="00D94F73">
            <w:pPr>
              <w:rPr>
                <w:rFonts w:ascii="宋体" w:hAnsi="宋体"/>
                <w:szCs w:val="21"/>
              </w:rPr>
            </w:pPr>
            <w:r>
              <w:rPr>
                <w:rFonts w:ascii="宋体" w:hAnsi="宋体" w:hint="eastAsia"/>
              </w:rPr>
              <w:t>新客户端加入平台，客户端需支持驱动自动识别机制，无需要对原有教学环境进行任何设置，服务端自动识别客户端网卡驱动和型号，新客户端即可启动管理员定制好的标准化桌面环境。</w:t>
            </w:r>
          </w:p>
        </w:tc>
      </w:tr>
    </w:tbl>
    <w:p w:rsidR="007A7817" w:rsidRPr="00495FD5" w:rsidRDefault="007A7817" w:rsidP="008F42E1"/>
    <w:sectPr w:rsidR="007A7817" w:rsidRPr="00495FD5" w:rsidSect="007444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48A" w:rsidRDefault="0020248A" w:rsidP="006C2FBB">
      <w:r>
        <w:separator/>
      </w:r>
    </w:p>
  </w:endnote>
  <w:endnote w:type="continuationSeparator" w:id="1">
    <w:p w:rsidR="0020248A" w:rsidRDefault="0020248A" w:rsidP="006C2F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48A" w:rsidRDefault="0020248A" w:rsidP="006C2FBB">
      <w:r>
        <w:separator/>
      </w:r>
    </w:p>
  </w:footnote>
  <w:footnote w:type="continuationSeparator" w:id="1">
    <w:p w:rsidR="0020248A" w:rsidRDefault="0020248A" w:rsidP="006C2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FBB"/>
    <w:rsid w:val="00006C0D"/>
    <w:rsid w:val="0020248A"/>
    <w:rsid w:val="003978FC"/>
    <w:rsid w:val="00495FD5"/>
    <w:rsid w:val="006C2FBB"/>
    <w:rsid w:val="007A7817"/>
    <w:rsid w:val="007E2D54"/>
    <w:rsid w:val="008F42E1"/>
    <w:rsid w:val="00BA54C5"/>
    <w:rsid w:val="00D01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FBB"/>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2F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2FBB"/>
    <w:rPr>
      <w:sz w:val="18"/>
      <w:szCs w:val="18"/>
    </w:rPr>
  </w:style>
  <w:style w:type="paragraph" w:styleId="a4">
    <w:name w:val="footer"/>
    <w:basedOn w:val="a"/>
    <w:link w:val="Char0"/>
    <w:uiPriority w:val="99"/>
    <w:semiHidden/>
    <w:unhideWhenUsed/>
    <w:rsid w:val="006C2F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2FBB"/>
    <w:rPr>
      <w:sz w:val="18"/>
      <w:szCs w:val="18"/>
    </w:rPr>
  </w:style>
  <w:style w:type="paragraph" w:styleId="a5">
    <w:name w:val="Balloon Text"/>
    <w:basedOn w:val="a"/>
    <w:link w:val="Char1"/>
    <w:uiPriority w:val="99"/>
    <w:semiHidden/>
    <w:unhideWhenUsed/>
    <w:rsid w:val="006C2FBB"/>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6C2FBB"/>
    <w:rPr>
      <w:sz w:val="18"/>
      <w:szCs w:val="18"/>
    </w:rPr>
  </w:style>
  <w:style w:type="table" w:styleId="a6">
    <w:name w:val="Table Grid"/>
    <w:basedOn w:val="a1"/>
    <w:uiPriority w:val="39"/>
    <w:rsid w:val="00BA5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6</cp:revision>
  <dcterms:created xsi:type="dcterms:W3CDTF">2020-12-08T03:00:00Z</dcterms:created>
  <dcterms:modified xsi:type="dcterms:W3CDTF">2021-09-06T07:48:00Z</dcterms:modified>
</cp:coreProperties>
</file>